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A6" w:rsidRDefault="00EE41BA" w:rsidP="00EE41BA">
      <w:pPr>
        <w:pStyle w:val="1"/>
        <w:jc w:val="center"/>
      </w:pPr>
      <w:r w:rsidRPr="00EE41BA">
        <w:rPr>
          <w:rFonts w:hint="eastAsia"/>
        </w:rPr>
        <w:t>数字化营销运营平台策略项目采购公告</w:t>
      </w:r>
    </w:p>
    <w:p w:rsidR="00EE41BA" w:rsidRDefault="00EE41BA">
      <w:r>
        <w:rPr>
          <w:rFonts w:hint="eastAsia"/>
        </w:rPr>
        <w:t>项目</w:t>
      </w:r>
      <w:r>
        <w:t>所在地区：北京市，市辖区，大兴区</w:t>
      </w:r>
    </w:p>
    <w:p w:rsidR="00EE41BA" w:rsidRPr="00EE41BA" w:rsidRDefault="00EE41BA" w:rsidP="00EE41BA">
      <w:pPr>
        <w:pStyle w:val="a3"/>
        <w:numPr>
          <w:ilvl w:val="0"/>
          <w:numId w:val="1"/>
        </w:numPr>
        <w:ind w:firstLineChars="0"/>
        <w:rPr>
          <w:rFonts w:ascii="微软雅黑" w:eastAsia="微软雅黑" w:hAnsi="微软雅黑"/>
          <w:b/>
          <w:sz w:val="28"/>
          <w:szCs w:val="28"/>
        </w:rPr>
      </w:pPr>
      <w:r w:rsidRPr="00EE41BA">
        <w:rPr>
          <w:rFonts w:ascii="微软雅黑" w:eastAsia="微软雅黑" w:hAnsi="微软雅黑" w:hint="eastAsia"/>
          <w:b/>
          <w:sz w:val="28"/>
          <w:szCs w:val="28"/>
        </w:rPr>
        <w:t>采购项目</w:t>
      </w:r>
      <w:r w:rsidRPr="00EE41BA">
        <w:rPr>
          <w:rFonts w:ascii="微软雅黑" w:eastAsia="微软雅黑" w:hAnsi="微软雅黑"/>
          <w:b/>
          <w:sz w:val="28"/>
          <w:szCs w:val="28"/>
        </w:rPr>
        <w:t>概况和</w:t>
      </w:r>
      <w:r w:rsidRPr="00EE41BA">
        <w:rPr>
          <w:rFonts w:ascii="微软雅黑" w:eastAsia="微软雅黑" w:hAnsi="微软雅黑" w:hint="eastAsia"/>
          <w:b/>
          <w:sz w:val="28"/>
          <w:szCs w:val="28"/>
        </w:rPr>
        <w:t>采购</w:t>
      </w:r>
      <w:r w:rsidRPr="00EE41BA">
        <w:rPr>
          <w:rFonts w:ascii="微软雅黑" w:eastAsia="微软雅黑" w:hAnsi="微软雅黑"/>
          <w:b/>
          <w:sz w:val="28"/>
          <w:szCs w:val="28"/>
        </w:rPr>
        <w:t>范围</w:t>
      </w:r>
    </w:p>
    <w:p w:rsidR="00EE41BA" w:rsidRPr="00EE41BA" w:rsidRDefault="00EE41BA" w:rsidP="00EE41BA">
      <w:pPr>
        <w:spacing w:line="360" w:lineRule="auto"/>
        <w:ind w:firstLineChars="200" w:firstLine="420"/>
        <w:rPr>
          <w:rFonts w:ascii="微软雅黑" w:eastAsia="微软雅黑" w:hAnsi="微软雅黑"/>
          <w:color w:val="000000"/>
        </w:rPr>
      </w:pPr>
      <w:r w:rsidRPr="00EE41BA">
        <w:rPr>
          <w:rFonts w:ascii="微软雅黑" w:eastAsia="微软雅黑" w:hAnsi="微软雅黑" w:hint="eastAsia"/>
          <w:color w:val="000000"/>
        </w:rPr>
        <w:t>新零售背景下，用户的需求发生日新月异的变化，新兴消费群体对于用户体验的要求正在逐步提高。为满足品牌未来营销体系的现实需求，助力提升品牌的行业竞争力，各大车</w:t>
      </w:r>
      <w:proofErr w:type="gramStart"/>
      <w:r w:rsidRPr="00EE41BA">
        <w:rPr>
          <w:rFonts w:ascii="微软雅黑" w:eastAsia="微软雅黑" w:hAnsi="微软雅黑" w:hint="eastAsia"/>
          <w:color w:val="000000"/>
        </w:rPr>
        <w:t>企开始</w:t>
      </w:r>
      <w:proofErr w:type="gramEnd"/>
      <w:r w:rsidRPr="00EE41BA">
        <w:rPr>
          <w:rFonts w:ascii="微软雅黑" w:eastAsia="微软雅黑" w:hAnsi="微软雅黑" w:hint="eastAsia"/>
          <w:color w:val="000000"/>
        </w:rPr>
        <w:t>在数字化方面开展了探索与尝试，积极构建以客户为中心的、面向未来的、满足商业生态需要的数字化营销平台，汽车行业的数字化已然势不可挡。数字化使</w:t>
      </w:r>
      <w:proofErr w:type="gramStart"/>
      <w:r w:rsidRPr="00EE41BA">
        <w:rPr>
          <w:rFonts w:ascii="微软雅黑" w:eastAsia="微软雅黑" w:hAnsi="微软雅黑" w:hint="eastAsia"/>
          <w:color w:val="000000"/>
        </w:rPr>
        <w:t>车企更</w:t>
      </w:r>
      <w:proofErr w:type="gramEnd"/>
      <w:r w:rsidRPr="00EE41BA">
        <w:rPr>
          <w:rFonts w:ascii="微软雅黑" w:eastAsia="微软雅黑" w:hAnsi="微软雅黑" w:hint="eastAsia"/>
          <w:color w:val="000000"/>
        </w:rPr>
        <w:t>了解用户，推动用户在销售、服务流程中端到端体验的提升，同时也对品牌、成交和服务等环节产生积极影响。企业数字化营销服务方面的竞争，体现在如何利用数字技术提升消费者体验、提升自身运营效率、构建数据分析利用能力。</w:t>
      </w:r>
    </w:p>
    <w:p w:rsidR="00EE41BA" w:rsidRPr="00EE41BA" w:rsidRDefault="00EE41BA" w:rsidP="00EE41BA">
      <w:pPr>
        <w:spacing w:line="360" w:lineRule="auto"/>
        <w:ind w:firstLineChars="200" w:firstLine="420"/>
        <w:rPr>
          <w:rFonts w:ascii="微软雅黑" w:eastAsia="微软雅黑" w:hAnsi="微软雅黑"/>
          <w:color w:val="000000"/>
        </w:rPr>
      </w:pPr>
      <w:r w:rsidRPr="00EE41BA">
        <w:rPr>
          <w:rFonts w:ascii="微软雅黑" w:eastAsia="微软雅黑" w:hAnsi="微软雅黑" w:hint="eastAsia"/>
          <w:color w:val="000000"/>
        </w:rPr>
        <w:t>为了获得更多品牌高意向人群搭建数字化营销运营平台从而</w:t>
      </w:r>
      <w:proofErr w:type="gramStart"/>
      <w:r w:rsidRPr="00EE41BA">
        <w:rPr>
          <w:rFonts w:ascii="微软雅黑" w:eastAsia="微软雅黑" w:hAnsi="微软雅黑" w:hint="eastAsia"/>
          <w:color w:val="000000"/>
        </w:rPr>
        <w:t>多次触达客户</w:t>
      </w:r>
      <w:proofErr w:type="gramEnd"/>
      <w:r w:rsidRPr="00EE41BA">
        <w:rPr>
          <w:rFonts w:ascii="微软雅黑" w:eastAsia="微软雅黑" w:hAnsi="微软雅黑" w:hint="eastAsia"/>
          <w:color w:val="000000"/>
        </w:rPr>
        <w:t>，提升数字化营销及生态协同能力，ARCFOX</w:t>
      </w:r>
      <w:proofErr w:type="gramStart"/>
      <w:r w:rsidRPr="00EE41BA">
        <w:rPr>
          <w:rFonts w:ascii="微软雅黑" w:eastAsia="微软雅黑" w:hAnsi="微软雅黑" w:hint="eastAsia"/>
          <w:color w:val="000000"/>
        </w:rPr>
        <w:t>极狐需</w:t>
      </w:r>
      <w:proofErr w:type="gramEnd"/>
      <w:r w:rsidRPr="00EE41BA">
        <w:rPr>
          <w:rFonts w:ascii="微软雅黑" w:eastAsia="微软雅黑" w:hAnsi="微软雅黑" w:hint="eastAsia"/>
          <w:color w:val="000000"/>
        </w:rPr>
        <w:t>打造数字化营销体系。ARCFOX</w:t>
      </w:r>
      <w:proofErr w:type="gramStart"/>
      <w:r w:rsidRPr="00EE41BA">
        <w:rPr>
          <w:rFonts w:ascii="微软雅黑" w:eastAsia="微软雅黑" w:hAnsi="微软雅黑" w:hint="eastAsia"/>
          <w:color w:val="000000"/>
        </w:rPr>
        <w:t>极狐品牌</w:t>
      </w:r>
      <w:proofErr w:type="gramEnd"/>
      <w:r w:rsidRPr="00EE41BA">
        <w:rPr>
          <w:rFonts w:ascii="微软雅黑" w:eastAsia="微软雅黑" w:hAnsi="微软雅黑" w:hint="eastAsia"/>
          <w:color w:val="000000"/>
        </w:rPr>
        <w:t>与数字营销</w:t>
      </w:r>
      <w:proofErr w:type="gramStart"/>
      <w:r w:rsidRPr="00EE41BA">
        <w:rPr>
          <w:rFonts w:ascii="微软雅黑" w:eastAsia="微软雅黑" w:hAnsi="微软雅黑" w:hint="eastAsia"/>
          <w:color w:val="000000"/>
        </w:rPr>
        <w:t>部启动</w:t>
      </w:r>
      <w:proofErr w:type="gramEnd"/>
      <w:r w:rsidRPr="00EE41BA">
        <w:rPr>
          <w:rFonts w:ascii="微软雅黑" w:eastAsia="微软雅黑" w:hAnsi="微软雅黑" w:hint="eastAsia"/>
          <w:color w:val="000000"/>
        </w:rPr>
        <w:t>了【</w:t>
      </w:r>
      <w:r w:rsidRPr="00EE41BA">
        <w:rPr>
          <w:rFonts w:ascii="微软雅黑" w:eastAsia="微软雅黑" w:hAnsi="微软雅黑"/>
          <w:color w:val="000000"/>
        </w:rPr>
        <w:t>CDP</w:t>
      </w:r>
      <w:r w:rsidRPr="00EE41BA">
        <w:rPr>
          <w:rFonts w:ascii="微软雅黑" w:eastAsia="微软雅黑" w:hAnsi="微软雅黑" w:hint="eastAsia"/>
          <w:color w:val="000000"/>
        </w:rPr>
        <w:t>架构规划】咨询项目，旨在提升ARCFOX</w:t>
      </w:r>
      <w:proofErr w:type="gramStart"/>
      <w:r w:rsidRPr="00EE41BA">
        <w:rPr>
          <w:rFonts w:ascii="微软雅黑" w:eastAsia="微软雅黑" w:hAnsi="微软雅黑" w:hint="eastAsia"/>
          <w:color w:val="000000"/>
        </w:rPr>
        <w:t>极</w:t>
      </w:r>
      <w:proofErr w:type="gramEnd"/>
      <w:r w:rsidRPr="00EE41BA">
        <w:rPr>
          <w:rFonts w:ascii="微软雅黑" w:eastAsia="微软雅黑" w:hAnsi="微软雅黑" w:hint="eastAsia"/>
          <w:color w:val="000000"/>
        </w:rPr>
        <w:t>狐数字化营销能力，从场景创新、价值评估，流程设计、运营迭代及管理体系等方面进行落地实施。继续优化厂商整体数字化营销体系策略、数字化营销CDP业务流程及平台功能，真正形成完整、清晰、具体的架构方案，打造ARCFOX极狐品牌面向未来的、满足总部业务需要的数字化营销体系。</w:t>
      </w:r>
    </w:p>
    <w:p w:rsidR="00EE41BA" w:rsidRPr="00EE41BA" w:rsidRDefault="00EE41BA" w:rsidP="00EE41BA">
      <w:pPr>
        <w:pStyle w:val="a3"/>
        <w:numPr>
          <w:ilvl w:val="0"/>
          <w:numId w:val="6"/>
        </w:numPr>
        <w:spacing w:after="160" w:line="360" w:lineRule="auto"/>
        <w:ind w:firstLineChars="0"/>
        <w:rPr>
          <w:rFonts w:ascii="Calibri" w:hAnsi="Calibri" w:cs="宋体"/>
          <w:b/>
          <w:bCs/>
          <w:sz w:val="24"/>
        </w:rPr>
      </w:pPr>
      <w:r w:rsidRPr="00EE41BA">
        <w:rPr>
          <w:rFonts w:ascii="Calibri" w:hAnsi="Calibri" w:cs="宋体" w:hint="eastAsia"/>
          <w:b/>
          <w:bCs/>
          <w:sz w:val="24"/>
        </w:rPr>
        <w:t>项目目标</w:t>
      </w:r>
    </w:p>
    <w:p w:rsidR="00EE41BA" w:rsidRPr="00EE41BA" w:rsidRDefault="00EE41BA" w:rsidP="00EE41BA">
      <w:pPr>
        <w:spacing w:line="360" w:lineRule="auto"/>
        <w:ind w:firstLineChars="250" w:firstLine="525"/>
        <w:rPr>
          <w:rFonts w:ascii="微软雅黑" w:eastAsia="微软雅黑" w:hAnsi="微软雅黑"/>
          <w:color w:val="000000"/>
        </w:rPr>
      </w:pPr>
      <w:r w:rsidRPr="00EE41BA">
        <w:rPr>
          <w:rFonts w:ascii="微软雅黑" w:eastAsia="微软雅黑" w:hAnsi="微软雅黑" w:hint="eastAsia"/>
          <w:color w:val="000000"/>
        </w:rPr>
        <w:t>以持续优化客户为中心的、面向未来的、满足商业生态需要的数字化营销体系为最终目标，此规划咨询项目致力于研究包括但不限于现状分析与需求调研，价值评估，流程梳理与设计，平台功能规划及建设实施方案设计等内容。</w:t>
      </w:r>
    </w:p>
    <w:p w:rsidR="00EE41BA" w:rsidRPr="00EE41BA" w:rsidRDefault="00EE41BA" w:rsidP="00EE41BA">
      <w:pPr>
        <w:spacing w:line="360" w:lineRule="auto"/>
        <w:rPr>
          <w:rFonts w:ascii="微软雅黑" w:eastAsia="微软雅黑" w:hAnsi="微软雅黑"/>
          <w:color w:val="000000"/>
        </w:rPr>
      </w:pPr>
      <w:r w:rsidRPr="00EE41BA">
        <w:rPr>
          <w:rFonts w:ascii="微软雅黑" w:eastAsia="微软雅黑" w:hAnsi="微软雅黑" w:hint="eastAsia"/>
          <w:color w:val="000000"/>
        </w:rPr>
        <w:t>1、CDP营销中</w:t>
      </w:r>
      <w:proofErr w:type="gramStart"/>
      <w:r w:rsidRPr="00EE41BA">
        <w:rPr>
          <w:rFonts w:ascii="微软雅黑" w:eastAsia="微软雅黑" w:hAnsi="微软雅黑" w:hint="eastAsia"/>
          <w:color w:val="000000"/>
        </w:rPr>
        <w:t>台需求</w:t>
      </w:r>
      <w:proofErr w:type="gramEnd"/>
      <w:r w:rsidRPr="00EE41BA">
        <w:rPr>
          <w:rFonts w:ascii="微软雅黑" w:eastAsia="微软雅黑" w:hAnsi="微软雅黑" w:hint="eastAsia"/>
          <w:color w:val="000000"/>
        </w:rPr>
        <w:t>评估、架构设计及规划</w:t>
      </w:r>
    </w:p>
    <w:p w:rsidR="00EE41BA" w:rsidRPr="00EE41BA" w:rsidRDefault="00EE41BA" w:rsidP="00EE41BA">
      <w:pPr>
        <w:spacing w:line="360" w:lineRule="auto"/>
        <w:rPr>
          <w:rFonts w:ascii="微软雅黑" w:eastAsia="微软雅黑" w:hAnsi="微软雅黑"/>
          <w:color w:val="000000"/>
        </w:rPr>
      </w:pPr>
      <w:r w:rsidRPr="00EE41BA">
        <w:rPr>
          <w:rFonts w:ascii="微软雅黑" w:eastAsia="微软雅黑" w:hAnsi="微软雅黑" w:hint="eastAsia"/>
          <w:color w:val="000000"/>
        </w:rPr>
        <w:lastRenderedPageBreak/>
        <w:t>评估ARCFOX</w:t>
      </w:r>
      <w:proofErr w:type="gramStart"/>
      <w:r w:rsidRPr="00EE41BA">
        <w:rPr>
          <w:rFonts w:ascii="微软雅黑" w:eastAsia="微软雅黑" w:hAnsi="微软雅黑" w:hint="eastAsia"/>
          <w:color w:val="000000"/>
        </w:rPr>
        <w:t>极狐业务</w:t>
      </w:r>
      <w:proofErr w:type="gramEnd"/>
      <w:r w:rsidRPr="00EE41BA">
        <w:rPr>
          <w:rFonts w:ascii="微软雅黑" w:eastAsia="微软雅黑" w:hAnsi="微软雅黑" w:hint="eastAsia"/>
          <w:color w:val="000000"/>
        </w:rPr>
        <w:t>需求部门的营销CDP中台需求，对2022年度的业务场景及行业对标营销场景进行价值评估，确定落地优先级，并开展相关场景设计及规划。具体体现在：</w:t>
      </w:r>
    </w:p>
    <w:p w:rsidR="00EE41BA" w:rsidRPr="00EE41BA" w:rsidRDefault="00EE41BA" w:rsidP="00EE41BA">
      <w:pPr>
        <w:numPr>
          <w:ilvl w:val="0"/>
          <w:numId w:val="4"/>
        </w:numPr>
        <w:spacing w:after="160" w:line="360" w:lineRule="auto"/>
        <w:rPr>
          <w:rFonts w:ascii="微软雅黑" w:eastAsia="微软雅黑" w:hAnsi="微软雅黑"/>
          <w:color w:val="000000"/>
        </w:rPr>
      </w:pPr>
      <w:r w:rsidRPr="00EE41BA">
        <w:rPr>
          <w:rFonts w:ascii="微软雅黑" w:eastAsia="微软雅黑" w:hAnsi="微软雅黑" w:hint="eastAsia"/>
          <w:color w:val="000000"/>
        </w:rPr>
        <w:t>汽车行业调研覆盖领先</w:t>
      </w:r>
      <w:proofErr w:type="gramStart"/>
      <w:r w:rsidRPr="00EE41BA">
        <w:rPr>
          <w:rFonts w:ascii="微软雅黑" w:eastAsia="微软雅黑" w:hAnsi="微软雅黑" w:hint="eastAsia"/>
          <w:color w:val="000000"/>
        </w:rPr>
        <w:t>车企品牌</w:t>
      </w:r>
      <w:proofErr w:type="gramEnd"/>
      <w:r w:rsidRPr="00EE41BA">
        <w:rPr>
          <w:rFonts w:ascii="微软雅黑" w:eastAsia="微软雅黑" w:hAnsi="微软雅黑" w:hint="eastAsia"/>
          <w:color w:val="000000"/>
        </w:rPr>
        <w:t>竞争对手、国内汽车行业主流合资企业、新能源及互联网等</w:t>
      </w:r>
      <w:proofErr w:type="gramStart"/>
      <w:r w:rsidRPr="00EE41BA">
        <w:rPr>
          <w:rFonts w:ascii="微软雅黑" w:eastAsia="微软雅黑" w:hAnsi="微软雅黑" w:hint="eastAsia"/>
          <w:color w:val="000000"/>
        </w:rPr>
        <w:t>新兴车企</w:t>
      </w:r>
      <w:proofErr w:type="gramEnd"/>
      <w:r w:rsidRPr="00EE41BA">
        <w:rPr>
          <w:rFonts w:ascii="微软雅黑" w:eastAsia="微软雅黑" w:hAnsi="微软雅黑" w:hint="eastAsia"/>
          <w:color w:val="000000"/>
        </w:rPr>
        <w:t>，在营销数据中台管理上的业务模式、业务场景及客户体验以及IT系统使用情况；</w:t>
      </w:r>
    </w:p>
    <w:p w:rsidR="00EE41BA" w:rsidRPr="00EE41BA" w:rsidRDefault="00EE41BA" w:rsidP="00EE41BA">
      <w:pPr>
        <w:spacing w:line="360" w:lineRule="auto"/>
        <w:rPr>
          <w:rFonts w:ascii="微软雅黑" w:eastAsia="微软雅黑" w:hAnsi="微软雅黑"/>
          <w:color w:val="000000"/>
        </w:rPr>
      </w:pPr>
      <w:r w:rsidRPr="00EE41BA">
        <w:rPr>
          <w:rFonts w:ascii="微软雅黑" w:eastAsia="微软雅黑" w:hAnsi="微软雅黑" w:hint="eastAsia"/>
          <w:color w:val="000000"/>
        </w:rPr>
        <w:t>（2）结合主机厂收集的营销中台CDP相关营销业务领域当前痛点及需求，提炼统计需求清单；</w:t>
      </w:r>
    </w:p>
    <w:p w:rsidR="00EE41BA" w:rsidRPr="00EE41BA" w:rsidRDefault="00EE41BA" w:rsidP="00EE41BA">
      <w:pPr>
        <w:spacing w:line="360" w:lineRule="auto"/>
        <w:rPr>
          <w:rFonts w:ascii="微软雅黑" w:eastAsia="微软雅黑" w:hAnsi="微软雅黑"/>
          <w:color w:val="000000"/>
        </w:rPr>
      </w:pPr>
      <w:r w:rsidRPr="00EE41BA">
        <w:rPr>
          <w:rFonts w:ascii="微软雅黑" w:eastAsia="微软雅黑" w:hAnsi="微软雅黑" w:hint="eastAsia"/>
          <w:color w:val="000000"/>
        </w:rPr>
        <w:t>（3）ARCFOX</w:t>
      </w:r>
      <w:proofErr w:type="gramStart"/>
      <w:r w:rsidRPr="00EE41BA">
        <w:rPr>
          <w:rFonts w:ascii="微软雅黑" w:eastAsia="微软雅黑" w:hAnsi="微软雅黑" w:hint="eastAsia"/>
          <w:color w:val="000000"/>
        </w:rPr>
        <w:t>极狐品牌</w:t>
      </w:r>
      <w:proofErr w:type="gramEnd"/>
      <w:r w:rsidRPr="00EE41BA">
        <w:rPr>
          <w:rFonts w:ascii="微软雅黑" w:eastAsia="微软雅黑" w:hAnsi="微软雅黑" w:hint="eastAsia"/>
          <w:color w:val="000000"/>
        </w:rPr>
        <w:t>构建面向未来的商业生态的背景下，形成初步整体数字化营销体系规划建议及整体战略蓝图；</w:t>
      </w:r>
    </w:p>
    <w:p w:rsidR="00EE41BA" w:rsidRPr="00EE41BA" w:rsidRDefault="00EE41BA" w:rsidP="00EE41BA">
      <w:pPr>
        <w:spacing w:line="360" w:lineRule="auto"/>
        <w:rPr>
          <w:rFonts w:ascii="微软雅黑" w:eastAsia="微软雅黑" w:hAnsi="微软雅黑"/>
          <w:color w:val="000000"/>
        </w:rPr>
      </w:pPr>
      <w:r w:rsidRPr="00EE41BA">
        <w:rPr>
          <w:rFonts w:ascii="微软雅黑" w:eastAsia="微软雅黑" w:hAnsi="微软雅黑" w:hint="eastAsia"/>
          <w:color w:val="000000"/>
        </w:rPr>
        <w:t>（4）根据数字化营销体系搭建的整体战略蓝图，制定CDP平台功能实现的优先级排序，分阶段实施计划及方案；</w:t>
      </w:r>
    </w:p>
    <w:p w:rsidR="00EE41BA" w:rsidRPr="00EE41BA" w:rsidRDefault="00EE41BA" w:rsidP="00EE41BA">
      <w:pPr>
        <w:pStyle w:val="a3"/>
        <w:numPr>
          <w:ilvl w:val="0"/>
          <w:numId w:val="7"/>
        </w:numPr>
        <w:spacing w:line="360" w:lineRule="auto"/>
        <w:ind w:firstLineChars="0"/>
        <w:rPr>
          <w:rFonts w:ascii="微软雅黑" w:eastAsia="微软雅黑" w:hAnsi="微软雅黑"/>
          <w:color w:val="000000"/>
        </w:rPr>
      </w:pPr>
      <w:r w:rsidRPr="00EE41BA">
        <w:rPr>
          <w:rFonts w:ascii="微软雅黑" w:eastAsia="微软雅黑" w:hAnsi="微软雅黑" w:hint="eastAsia"/>
          <w:color w:val="000000"/>
        </w:rPr>
        <w:t>制定CDP平台实施时间节点的统筹规划；</w:t>
      </w:r>
    </w:p>
    <w:p w:rsidR="00EE41BA" w:rsidRDefault="00EE41BA" w:rsidP="00EE41BA">
      <w:pPr>
        <w:spacing w:after="160" w:line="360" w:lineRule="auto"/>
        <w:rPr>
          <w:rFonts w:ascii="Calibri" w:hAnsi="Calibri" w:cs="宋体"/>
          <w:b/>
          <w:bCs/>
          <w:sz w:val="24"/>
        </w:rPr>
      </w:pPr>
      <w:r>
        <w:rPr>
          <w:rFonts w:ascii="Calibri" w:hAnsi="Calibri" w:cs="宋体" w:hint="eastAsia"/>
          <w:b/>
          <w:bCs/>
          <w:sz w:val="24"/>
        </w:rPr>
        <w:t>B</w:t>
      </w:r>
      <w:r>
        <w:rPr>
          <w:rFonts w:ascii="Calibri" w:hAnsi="Calibri" w:cs="宋体" w:hint="eastAsia"/>
          <w:b/>
          <w:bCs/>
          <w:sz w:val="24"/>
        </w:rPr>
        <w:t>、</w:t>
      </w:r>
      <w:r>
        <w:rPr>
          <w:rFonts w:ascii="Calibri" w:hAnsi="Calibri" w:cs="宋体" w:hint="eastAsia"/>
          <w:b/>
          <w:bCs/>
          <w:sz w:val="24"/>
        </w:rPr>
        <w:t>交付物标准</w:t>
      </w:r>
    </w:p>
    <w:p w:rsidR="00EE41BA" w:rsidRPr="00EE41BA" w:rsidRDefault="00EE41BA" w:rsidP="00EE41BA">
      <w:pPr>
        <w:pStyle w:val="11"/>
        <w:numPr>
          <w:ilvl w:val="0"/>
          <w:numId w:val="5"/>
        </w:numPr>
        <w:spacing w:line="360" w:lineRule="auto"/>
        <w:rPr>
          <w:rFonts w:ascii="微软雅黑" w:eastAsia="微软雅黑" w:hAnsi="微软雅黑" w:cstheme="minorBidi"/>
          <w:color w:val="000000"/>
          <w:szCs w:val="22"/>
        </w:rPr>
      </w:pPr>
      <w:r w:rsidRPr="00EE41BA">
        <w:rPr>
          <w:rFonts w:ascii="微软雅黑" w:eastAsia="微软雅黑" w:hAnsi="微软雅黑" w:cstheme="minorBidi" w:hint="eastAsia"/>
          <w:color w:val="000000"/>
          <w:szCs w:val="22"/>
        </w:rPr>
        <w:t>交付物清单</w:t>
      </w:r>
    </w:p>
    <w:p w:rsidR="00EE41BA" w:rsidRPr="00EE41BA" w:rsidRDefault="00EE41BA" w:rsidP="00EE41BA">
      <w:pPr>
        <w:pStyle w:val="11"/>
        <w:numPr>
          <w:ilvl w:val="1"/>
          <w:numId w:val="5"/>
        </w:numPr>
        <w:spacing w:line="360" w:lineRule="auto"/>
        <w:rPr>
          <w:rFonts w:ascii="微软雅黑" w:eastAsia="微软雅黑" w:hAnsi="微软雅黑" w:cstheme="minorBidi"/>
          <w:color w:val="000000"/>
          <w:szCs w:val="22"/>
        </w:rPr>
      </w:pPr>
      <w:r w:rsidRPr="00EE41BA">
        <w:rPr>
          <w:rFonts w:ascii="微软雅黑" w:eastAsia="微软雅黑" w:hAnsi="微软雅黑" w:cstheme="minorBidi" w:hint="eastAsia"/>
          <w:color w:val="000000"/>
          <w:szCs w:val="22"/>
        </w:rPr>
        <w:t>项目管理：项目周报、</w:t>
      </w:r>
      <w:proofErr w:type="gramStart"/>
      <w:r w:rsidRPr="00EE41BA">
        <w:rPr>
          <w:rFonts w:ascii="微软雅黑" w:eastAsia="微软雅黑" w:hAnsi="微软雅黑" w:cstheme="minorBidi" w:hint="eastAsia"/>
          <w:color w:val="000000"/>
          <w:szCs w:val="22"/>
        </w:rPr>
        <w:t>项目结项报告</w:t>
      </w:r>
      <w:proofErr w:type="gramEnd"/>
      <w:r w:rsidRPr="00EE41BA">
        <w:rPr>
          <w:rFonts w:ascii="微软雅黑" w:eastAsia="微软雅黑" w:hAnsi="微软雅黑" w:cstheme="minorBidi" w:hint="eastAsia"/>
          <w:color w:val="000000"/>
          <w:szCs w:val="22"/>
        </w:rPr>
        <w:t>、项目整体计划进度管</w:t>
      </w:r>
      <w:proofErr w:type="gramStart"/>
      <w:r w:rsidRPr="00EE41BA">
        <w:rPr>
          <w:rFonts w:ascii="微软雅黑" w:eastAsia="微软雅黑" w:hAnsi="微软雅黑" w:cstheme="minorBidi" w:hint="eastAsia"/>
          <w:color w:val="000000"/>
          <w:szCs w:val="22"/>
        </w:rPr>
        <w:t>控报告</w:t>
      </w:r>
      <w:proofErr w:type="gramEnd"/>
      <w:r w:rsidRPr="00EE41BA">
        <w:rPr>
          <w:rFonts w:ascii="微软雅黑" w:eastAsia="微软雅黑" w:hAnsi="微软雅黑" w:cstheme="minorBidi" w:hint="eastAsia"/>
          <w:color w:val="000000"/>
          <w:szCs w:val="22"/>
        </w:rPr>
        <w:t>等；</w:t>
      </w:r>
    </w:p>
    <w:p w:rsidR="00EE41BA" w:rsidRPr="00EE41BA" w:rsidRDefault="00EE41BA" w:rsidP="00EE41BA">
      <w:pPr>
        <w:pStyle w:val="11"/>
        <w:numPr>
          <w:ilvl w:val="1"/>
          <w:numId w:val="5"/>
        </w:numPr>
        <w:spacing w:line="360" w:lineRule="auto"/>
        <w:rPr>
          <w:rFonts w:ascii="微软雅黑" w:eastAsia="微软雅黑" w:hAnsi="微软雅黑" w:cstheme="minorBidi"/>
          <w:color w:val="000000"/>
          <w:szCs w:val="22"/>
        </w:rPr>
      </w:pPr>
      <w:r w:rsidRPr="00EE41BA">
        <w:rPr>
          <w:rFonts w:ascii="微软雅黑" w:eastAsia="微软雅黑" w:hAnsi="微软雅黑" w:cstheme="minorBidi" w:hint="eastAsia"/>
          <w:color w:val="000000"/>
          <w:szCs w:val="22"/>
        </w:rPr>
        <w:t>CDP营销中</w:t>
      </w:r>
      <w:proofErr w:type="gramStart"/>
      <w:r w:rsidRPr="00EE41BA">
        <w:rPr>
          <w:rFonts w:ascii="微软雅黑" w:eastAsia="微软雅黑" w:hAnsi="微软雅黑" w:cstheme="minorBidi" w:hint="eastAsia"/>
          <w:color w:val="000000"/>
          <w:szCs w:val="22"/>
        </w:rPr>
        <w:t>台需求</w:t>
      </w:r>
      <w:proofErr w:type="gramEnd"/>
      <w:r w:rsidRPr="00EE41BA">
        <w:rPr>
          <w:rFonts w:ascii="微软雅黑" w:eastAsia="微软雅黑" w:hAnsi="微软雅黑" w:cstheme="minorBidi" w:hint="eastAsia"/>
          <w:color w:val="000000"/>
          <w:szCs w:val="22"/>
        </w:rPr>
        <w:t>调研报告；</w:t>
      </w:r>
    </w:p>
    <w:p w:rsidR="00EE41BA" w:rsidRPr="00EE41BA" w:rsidRDefault="00EE41BA" w:rsidP="00EE41BA">
      <w:pPr>
        <w:pStyle w:val="11"/>
        <w:numPr>
          <w:ilvl w:val="1"/>
          <w:numId w:val="5"/>
        </w:numPr>
        <w:spacing w:line="360" w:lineRule="auto"/>
        <w:rPr>
          <w:rFonts w:ascii="微软雅黑" w:eastAsia="微软雅黑" w:hAnsi="微软雅黑" w:cstheme="minorBidi"/>
          <w:color w:val="000000"/>
          <w:szCs w:val="22"/>
        </w:rPr>
      </w:pPr>
      <w:r w:rsidRPr="00EE41BA">
        <w:rPr>
          <w:rFonts w:ascii="微软雅黑" w:eastAsia="微软雅黑" w:hAnsi="微软雅黑" w:cstheme="minorBidi" w:hint="eastAsia"/>
          <w:color w:val="000000"/>
          <w:szCs w:val="22"/>
        </w:rPr>
        <w:t>ARCFOX</w:t>
      </w:r>
      <w:proofErr w:type="gramStart"/>
      <w:r w:rsidRPr="00EE41BA">
        <w:rPr>
          <w:rFonts w:ascii="微软雅黑" w:eastAsia="微软雅黑" w:hAnsi="微软雅黑" w:cstheme="minorBidi" w:hint="eastAsia"/>
          <w:color w:val="000000"/>
          <w:szCs w:val="22"/>
        </w:rPr>
        <w:t>极</w:t>
      </w:r>
      <w:proofErr w:type="gramEnd"/>
      <w:r w:rsidRPr="00EE41BA">
        <w:rPr>
          <w:rFonts w:ascii="微软雅黑" w:eastAsia="微软雅黑" w:hAnsi="微软雅黑" w:cstheme="minorBidi" w:hint="eastAsia"/>
          <w:color w:val="000000"/>
          <w:szCs w:val="22"/>
        </w:rPr>
        <w:t>狐数字化营销体系规划建议；</w:t>
      </w:r>
    </w:p>
    <w:p w:rsidR="00EE41BA" w:rsidRPr="00EE41BA" w:rsidRDefault="00EE41BA" w:rsidP="00EE41BA">
      <w:pPr>
        <w:pStyle w:val="11"/>
        <w:numPr>
          <w:ilvl w:val="1"/>
          <w:numId w:val="5"/>
        </w:numPr>
        <w:spacing w:line="360" w:lineRule="auto"/>
        <w:rPr>
          <w:rFonts w:ascii="微软雅黑" w:eastAsia="微软雅黑" w:hAnsi="微软雅黑" w:cstheme="minorBidi"/>
          <w:color w:val="000000"/>
          <w:szCs w:val="22"/>
        </w:rPr>
      </w:pPr>
      <w:r w:rsidRPr="00EE41BA">
        <w:rPr>
          <w:rFonts w:ascii="微软雅黑" w:eastAsia="微软雅黑" w:hAnsi="微软雅黑" w:cstheme="minorBidi" w:hint="eastAsia"/>
          <w:color w:val="000000"/>
          <w:szCs w:val="22"/>
        </w:rPr>
        <w:t>ARCFOX</w:t>
      </w:r>
      <w:proofErr w:type="gramStart"/>
      <w:r w:rsidRPr="00EE41BA">
        <w:rPr>
          <w:rFonts w:ascii="微软雅黑" w:eastAsia="微软雅黑" w:hAnsi="微软雅黑" w:cstheme="minorBidi" w:hint="eastAsia"/>
          <w:color w:val="000000"/>
          <w:szCs w:val="22"/>
        </w:rPr>
        <w:t>极</w:t>
      </w:r>
      <w:proofErr w:type="gramEnd"/>
      <w:r w:rsidRPr="00EE41BA">
        <w:rPr>
          <w:rFonts w:ascii="微软雅黑" w:eastAsia="微软雅黑" w:hAnsi="微软雅黑" w:cstheme="minorBidi" w:hint="eastAsia"/>
          <w:color w:val="000000"/>
          <w:szCs w:val="22"/>
        </w:rPr>
        <w:t>狐数字化营销CDP中</w:t>
      </w:r>
      <w:proofErr w:type="gramStart"/>
      <w:r w:rsidRPr="00EE41BA">
        <w:rPr>
          <w:rFonts w:ascii="微软雅黑" w:eastAsia="微软雅黑" w:hAnsi="微软雅黑" w:cstheme="minorBidi" w:hint="eastAsia"/>
          <w:color w:val="000000"/>
          <w:szCs w:val="22"/>
        </w:rPr>
        <w:t>台产品</w:t>
      </w:r>
      <w:proofErr w:type="gramEnd"/>
      <w:r w:rsidRPr="00EE41BA">
        <w:rPr>
          <w:rFonts w:ascii="微软雅黑" w:eastAsia="微软雅黑" w:hAnsi="微软雅黑" w:cstheme="minorBidi" w:hint="eastAsia"/>
          <w:color w:val="000000"/>
          <w:szCs w:val="22"/>
        </w:rPr>
        <w:t>需求文档以及其他</w:t>
      </w:r>
      <w:proofErr w:type="gramStart"/>
      <w:r w:rsidRPr="00EE41BA">
        <w:rPr>
          <w:rFonts w:ascii="微软雅黑" w:eastAsia="微软雅黑" w:hAnsi="微软雅黑" w:cstheme="minorBidi" w:hint="eastAsia"/>
          <w:color w:val="000000"/>
          <w:szCs w:val="22"/>
        </w:rPr>
        <w:t>文件文件</w:t>
      </w:r>
      <w:proofErr w:type="gramEnd"/>
      <w:r w:rsidRPr="00EE41BA">
        <w:rPr>
          <w:rFonts w:ascii="微软雅黑" w:eastAsia="微软雅黑" w:hAnsi="微软雅黑" w:cstheme="minorBidi" w:hint="eastAsia"/>
          <w:color w:val="000000"/>
          <w:szCs w:val="22"/>
        </w:rPr>
        <w:t>文档等</w:t>
      </w:r>
      <w:r w:rsidRPr="00EE41BA">
        <w:rPr>
          <w:rFonts w:ascii="微软雅黑" w:eastAsia="微软雅黑" w:hAnsi="微软雅黑" w:cstheme="minorBidi"/>
          <w:color w:val="000000"/>
          <w:szCs w:val="22"/>
        </w:rPr>
        <w:t>。</w:t>
      </w:r>
    </w:p>
    <w:p w:rsidR="00EE41BA" w:rsidRPr="00EE41BA" w:rsidRDefault="00EE41BA" w:rsidP="00EE41BA">
      <w:pPr>
        <w:spacing w:line="360" w:lineRule="auto"/>
        <w:rPr>
          <w:rFonts w:ascii="微软雅黑" w:eastAsia="微软雅黑" w:hAnsi="微软雅黑"/>
          <w:color w:val="000000"/>
        </w:rPr>
      </w:pPr>
      <w:r w:rsidRPr="00EE41BA">
        <w:rPr>
          <w:rFonts w:ascii="微软雅黑" w:eastAsia="微软雅黑" w:hAnsi="微软雅黑" w:hint="eastAsia"/>
          <w:color w:val="000000"/>
        </w:rPr>
        <w:t xml:space="preserve">     2、交付标准：作为验收必要材料，在项目结束时交付包括符合ARCFOX</w:t>
      </w:r>
      <w:proofErr w:type="gramStart"/>
      <w:r w:rsidRPr="00EE41BA">
        <w:rPr>
          <w:rFonts w:ascii="微软雅黑" w:eastAsia="微软雅黑" w:hAnsi="微软雅黑" w:hint="eastAsia"/>
          <w:color w:val="000000"/>
        </w:rPr>
        <w:t>极</w:t>
      </w:r>
      <w:proofErr w:type="gramEnd"/>
      <w:r w:rsidRPr="00EE41BA">
        <w:rPr>
          <w:rFonts w:ascii="微软雅黑" w:eastAsia="微软雅黑" w:hAnsi="微软雅黑" w:hint="eastAsia"/>
          <w:color w:val="000000"/>
        </w:rPr>
        <w:t>狐项目管理规范的文档资料（电子版及纸质版）</w:t>
      </w:r>
    </w:p>
    <w:p w:rsidR="00EE41BA" w:rsidRPr="00EE41BA" w:rsidRDefault="00EE41BA" w:rsidP="00EE41BA">
      <w:pPr>
        <w:pStyle w:val="a3"/>
        <w:ind w:left="420" w:firstLineChars="0" w:firstLine="0"/>
        <w:rPr>
          <w:rFonts w:ascii="微软雅黑" w:eastAsia="微软雅黑" w:hAnsi="微软雅黑" w:hint="eastAsia"/>
          <w:color w:val="000000"/>
        </w:rPr>
      </w:pPr>
    </w:p>
    <w:p w:rsidR="00EE41BA" w:rsidRPr="008B13C7" w:rsidRDefault="00EE41BA" w:rsidP="00EE41BA">
      <w:pPr>
        <w:pStyle w:val="a3"/>
        <w:numPr>
          <w:ilvl w:val="0"/>
          <w:numId w:val="1"/>
        </w:numPr>
        <w:ind w:firstLineChars="0"/>
        <w:rPr>
          <w:rFonts w:ascii="微软雅黑" w:eastAsia="微软雅黑" w:hAnsi="微软雅黑"/>
          <w:b/>
          <w:sz w:val="28"/>
          <w:szCs w:val="28"/>
        </w:rPr>
      </w:pPr>
      <w:r w:rsidRPr="008B13C7">
        <w:rPr>
          <w:rFonts w:ascii="微软雅黑" w:eastAsia="微软雅黑" w:hAnsi="微软雅黑" w:hint="eastAsia"/>
          <w:b/>
          <w:sz w:val="28"/>
          <w:szCs w:val="28"/>
        </w:rPr>
        <w:t>供应商</w:t>
      </w:r>
      <w:r w:rsidRPr="008B13C7">
        <w:rPr>
          <w:rFonts w:ascii="微软雅黑" w:eastAsia="微软雅黑" w:hAnsi="微软雅黑"/>
          <w:b/>
          <w:sz w:val="28"/>
          <w:szCs w:val="28"/>
        </w:rPr>
        <w:t>资格要求</w:t>
      </w:r>
    </w:p>
    <w:p w:rsidR="00EE41BA" w:rsidRPr="00EE41BA" w:rsidRDefault="00EE41BA" w:rsidP="00EE41BA">
      <w:pPr>
        <w:spacing w:after="160" w:line="360" w:lineRule="auto"/>
        <w:ind w:left="420"/>
        <w:rPr>
          <w:rFonts w:ascii="微软雅黑" w:eastAsia="微软雅黑" w:hAnsi="微软雅黑"/>
          <w:color w:val="000000"/>
        </w:rPr>
      </w:pPr>
      <w:r w:rsidRPr="00EE41BA">
        <w:rPr>
          <w:rFonts w:ascii="微软雅黑" w:eastAsia="微软雅黑" w:hAnsi="微软雅黑" w:hint="eastAsia"/>
          <w:color w:val="000000"/>
        </w:rPr>
        <w:t>1、</w:t>
      </w:r>
      <w:r w:rsidRPr="00EE41BA">
        <w:rPr>
          <w:rFonts w:ascii="微软雅黑" w:eastAsia="微软雅黑" w:hAnsi="微软雅黑" w:hint="eastAsia"/>
          <w:color w:val="000000"/>
        </w:rPr>
        <w:t>国际高阶咨询公司</w:t>
      </w:r>
    </w:p>
    <w:p w:rsidR="00EE41BA" w:rsidRPr="00EE41BA" w:rsidRDefault="00EE41BA" w:rsidP="00EE41BA">
      <w:pPr>
        <w:spacing w:line="360" w:lineRule="auto"/>
        <w:ind w:leftChars="202" w:left="424"/>
        <w:rPr>
          <w:rFonts w:ascii="微软雅黑" w:eastAsia="微软雅黑" w:hAnsi="微软雅黑"/>
          <w:color w:val="000000"/>
        </w:rPr>
      </w:pPr>
      <w:r w:rsidRPr="00EE41BA">
        <w:rPr>
          <w:rFonts w:ascii="微软雅黑" w:eastAsia="微软雅黑" w:hAnsi="微软雅黑" w:hint="eastAsia"/>
          <w:color w:val="000000"/>
        </w:rPr>
        <w:t>（1）候选供应商应是知名的咨询及IT咨询公司；</w:t>
      </w:r>
    </w:p>
    <w:p w:rsidR="00EE41BA" w:rsidRPr="00EE41BA" w:rsidRDefault="00EE41BA" w:rsidP="00EE41BA">
      <w:pPr>
        <w:spacing w:line="360" w:lineRule="auto"/>
        <w:ind w:leftChars="202" w:left="424"/>
        <w:rPr>
          <w:rFonts w:ascii="微软雅黑" w:eastAsia="微软雅黑" w:hAnsi="微软雅黑"/>
          <w:color w:val="000000"/>
        </w:rPr>
      </w:pPr>
      <w:r w:rsidRPr="00EE41BA">
        <w:rPr>
          <w:rFonts w:ascii="微软雅黑" w:eastAsia="微软雅黑" w:hAnsi="微软雅黑" w:hint="eastAsia"/>
          <w:color w:val="000000"/>
        </w:rPr>
        <w:t>（2）供应商具备领先车企、造车新势力等品牌咨询及IT咨询项目经验；</w:t>
      </w:r>
    </w:p>
    <w:p w:rsidR="00EE41BA" w:rsidRPr="00EE41BA" w:rsidRDefault="00EE41BA" w:rsidP="00EE41BA">
      <w:pPr>
        <w:spacing w:line="360" w:lineRule="auto"/>
        <w:ind w:leftChars="202" w:left="424"/>
        <w:rPr>
          <w:rFonts w:ascii="微软雅黑" w:eastAsia="微软雅黑" w:hAnsi="微软雅黑"/>
          <w:color w:val="000000"/>
        </w:rPr>
      </w:pPr>
      <w:r w:rsidRPr="00EE41BA">
        <w:rPr>
          <w:rFonts w:ascii="微软雅黑" w:eastAsia="微软雅黑" w:hAnsi="微软雅黑" w:hint="eastAsia"/>
          <w:color w:val="000000"/>
        </w:rPr>
        <w:t>（3）供应商具备满足甲方需求的专业化团队以及领先的项目实施工具及方法；</w:t>
      </w:r>
    </w:p>
    <w:p w:rsidR="00EE41BA" w:rsidRPr="00EE41BA" w:rsidRDefault="00EE41BA" w:rsidP="00EE41BA">
      <w:pPr>
        <w:spacing w:line="360" w:lineRule="auto"/>
        <w:ind w:leftChars="202" w:left="424"/>
        <w:rPr>
          <w:rFonts w:ascii="微软雅黑" w:eastAsia="微软雅黑" w:hAnsi="微软雅黑"/>
          <w:color w:val="000000"/>
        </w:rPr>
      </w:pPr>
      <w:r w:rsidRPr="00EE41BA">
        <w:rPr>
          <w:rFonts w:ascii="微软雅黑" w:eastAsia="微软雅黑" w:hAnsi="微软雅黑" w:hint="eastAsia"/>
          <w:color w:val="000000"/>
        </w:rPr>
        <w:t>（4）供应商核心团队须具备汽车行业、数字化产品规划和运营经验，能够提供方案规划和运营策略支持；</w:t>
      </w:r>
    </w:p>
    <w:p w:rsidR="00EE41BA" w:rsidRPr="00EE41BA" w:rsidRDefault="00EE41BA" w:rsidP="00EE41BA">
      <w:pPr>
        <w:spacing w:line="360" w:lineRule="auto"/>
        <w:ind w:leftChars="202" w:left="424"/>
        <w:rPr>
          <w:rFonts w:ascii="微软雅黑" w:eastAsia="微软雅黑" w:hAnsi="微软雅黑"/>
          <w:color w:val="000000"/>
        </w:rPr>
      </w:pPr>
      <w:r w:rsidRPr="00EE41BA">
        <w:rPr>
          <w:rFonts w:ascii="微软雅黑" w:eastAsia="微软雅黑" w:hAnsi="微软雅黑" w:hint="eastAsia"/>
          <w:color w:val="000000"/>
        </w:rPr>
        <w:t>（5）供应商需具备专业的IT规划团队，工作团队人员具备IT规划，企业级IT架构规划能力；</w:t>
      </w:r>
    </w:p>
    <w:p w:rsidR="00EE41BA" w:rsidRPr="00EE41BA" w:rsidRDefault="00EE41BA" w:rsidP="00EE41BA">
      <w:pPr>
        <w:spacing w:line="360" w:lineRule="auto"/>
        <w:ind w:leftChars="202" w:left="424"/>
        <w:rPr>
          <w:rFonts w:ascii="微软雅黑" w:eastAsia="微软雅黑" w:hAnsi="微软雅黑"/>
          <w:color w:val="000000"/>
        </w:rPr>
      </w:pPr>
      <w:r w:rsidRPr="00EE41BA">
        <w:rPr>
          <w:rFonts w:ascii="微软雅黑" w:eastAsia="微软雅黑" w:hAnsi="微软雅黑" w:hint="eastAsia"/>
          <w:color w:val="000000"/>
        </w:rPr>
        <w:t>（6） 最后提交的书面材料要有准备参与该项目的专家与咨询顾问的介绍，资历及历史实施项目简介；项目参与人员一经甲方项目组确认后，不得随意更换（如确需要更换应征得甲方项目组同意，甲方如对咨询顾问不满意，乙方应提供合适咨询顾问替换，以免影响项目进度和效果）。项目经理、高级或资深顾问、顾问等项目成员应提前经过甲方面试。</w:t>
      </w:r>
    </w:p>
    <w:p w:rsidR="00EE41BA" w:rsidRPr="00EE41BA" w:rsidRDefault="00EE41BA" w:rsidP="00EE41BA">
      <w:pPr>
        <w:spacing w:line="360" w:lineRule="auto"/>
        <w:ind w:firstLineChars="250" w:firstLine="525"/>
        <w:rPr>
          <w:rFonts w:ascii="微软雅黑" w:eastAsia="微软雅黑" w:hAnsi="微软雅黑"/>
          <w:color w:val="000000"/>
        </w:rPr>
      </w:pPr>
      <w:r w:rsidRPr="00EE41BA">
        <w:rPr>
          <w:rFonts w:ascii="微软雅黑" w:eastAsia="微软雅黑" w:hAnsi="微软雅黑" w:hint="eastAsia"/>
          <w:color w:val="000000"/>
        </w:rPr>
        <w:t>2、业绩要求：在上一年度营业额超过8000万人民币</w:t>
      </w:r>
    </w:p>
    <w:p w:rsidR="00EE41BA" w:rsidRPr="00EE41BA" w:rsidRDefault="00EE41BA" w:rsidP="00EE41BA">
      <w:pPr>
        <w:spacing w:line="360" w:lineRule="auto"/>
        <w:ind w:firstLineChars="250" w:firstLine="525"/>
        <w:rPr>
          <w:rFonts w:ascii="微软雅黑" w:eastAsia="微软雅黑" w:hAnsi="微软雅黑"/>
          <w:color w:val="000000"/>
        </w:rPr>
      </w:pPr>
      <w:r w:rsidRPr="00EE41BA">
        <w:rPr>
          <w:rFonts w:ascii="微软雅黑" w:eastAsia="微软雅黑" w:hAnsi="微软雅黑" w:hint="eastAsia"/>
          <w:color w:val="000000"/>
        </w:rPr>
        <w:t>3、技术能力要求：有至少</w:t>
      </w:r>
      <w:proofErr w:type="gramStart"/>
      <w:r w:rsidRPr="00EE41BA">
        <w:rPr>
          <w:rFonts w:ascii="微软雅黑" w:eastAsia="微软雅黑" w:hAnsi="微软雅黑" w:hint="eastAsia"/>
          <w:color w:val="000000"/>
        </w:rPr>
        <w:t>一家车企服务</w:t>
      </w:r>
      <w:proofErr w:type="gramEnd"/>
      <w:r w:rsidRPr="00EE41BA">
        <w:rPr>
          <w:rFonts w:ascii="微软雅黑" w:eastAsia="微软雅黑" w:hAnsi="微软雅黑" w:hint="eastAsia"/>
          <w:color w:val="000000"/>
        </w:rPr>
        <w:t>的成功案例，并提交项目合同</w:t>
      </w:r>
    </w:p>
    <w:p w:rsidR="00EE41BA" w:rsidRPr="00EE41BA" w:rsidRDefault="00EE41BA" w:rsidP="00EE41BA">
      <w:pPr>
        <w:pStyle w:val="a3"/>
        <w:ind w:left="420" w:firstLineChars="0" w:firstLine="0"/>
        <w:rPr>
          <w:rFonts w:ascii="微软雅黑" w:eastAsia="微软雅黑" w:hAnsi="微软雅黑" w:hint="eastAsia"/>
          <w:b/>
          <w:sz w:val="28"/>
          <w:szCs w:val="28"/>
        </w:rPr>
      </w:pPr>
    </w:p>
    <w:p w:rsidR="00EE41BA" w:rsidRPr="00EE41BA" w:rsidRDefault="00EE41BA" w:rsidP="00EE41BA">
      <w:pPr>
        <w:pStyle w:val="a3"/>
        <w:numPr>
          <w:ilvl w:val="0"/>
          <w:numId w:val="1"/>
        </w:numPr>
        <w:ind w:firstLineChars="0"/>
        <w:rPr>
          <w:rFonts w:ascii="微软雅黑" w:eastAsia="微软雅黑" w:hAnsi="微软雅黑"/>
          <w:b/>
          <w:sz w:val="28"/>
          <w:szCs w:val="28"/>
        </w:rPr>
      </w:pPr>
      <w:r w:rsidRPr="00EE41BA">
        <w:rPr>
          <w:rFonts w:ascii="微软雅黑" w:eastAsia="微软雅黑" w:hAnsi="微软雅黑" w:hint="eastAsia"/>
          <w:b/>
          <w:sz w:val="28"/>
          <w:szCs w:val="28"/>
        </w:rPr>
        <w:t>供应商报名</w:t>
      </w:r>
      <w:r w:rsidRPr="00EE41BA">
        <w:rPr>
          <w:rFonts w:ascii="微软雅黑" w:eastAsia="微软雅黑" w:hAnsi="微软雅黑"/>
          <w:b/>
          <w:sz w:val="28"/>
          <w:szCs w:val="28"/>
        </w:rPr>
        <w:t>的递交</w:t>
      </w:r>
    </w:p>
    <w:p w:rsidR="00EE41BA" w:rsidRPr="00EE41BA" w:rsidRDefault="00EE41BA" w:rsidP="00EE41BA">
      <w:pPr>
        <w:pStyle w:val="a3"/>
        <w:ind w:left="420" w:firstLineChars="0" w:firstLine="0"/>
        <w:rPr>
          <w:rFonts w:ascii="微软雅黑" w:eastAsia="微软雅黑" w:hAnsi="微软雅黑" w:hint="eastAsia"/>
          <w:color w:val="000000"/>
        </w:rPr>
      </w:pPr>
      <w:r w:rsidRPr="00EE41BA">
        <w:rPr>
          <w:rFonts w:ascii="微软雅黑" w:eastAsia="微软雅黑" w:hAnsi="微软雅黑" w:hint="eastAsia"/>
          <w:color w:val="000000"/>
        </w:rPr>
        <w:t>递交</w:t>
      </w:r>
      <w:r w:rsidRPr="00EE41BA">
        <w:rPr>
          <w:rFonts w:ascii="微软雅黑" w:eastAsia="微软雅黑" w:hAnsi="微软雅黑"/>
          <w:color w:val="000000"/>
        </w:rPr>
        <w:t>截止时间：</w:t>
      </w:r>
      <w:r w:rsidRPr="00EE41BA">
        <w:rPr>
          <w:rFonts w:ascii="微软雅黑" w:eastAsia="微软雅黑" w:hAnsi="微软雅黑" w:hint="eastAsia"/>
          <w:color w:val="000000"/>
        </w:rPr>
        <w:t>2021-</w:t>
      </w:r>
      <w:r w:rsidRPr="00EE41BA">
        <w:rPr>
          <w:rFonts w:ascii="微软雅黑" w:eastAsia="微软雅黑" w:hAnsi="微软雅黑"/>
          <w:color w:val="000000"/>
        </w:rPr>
        <w:t>9-22 17</w:t>
      </w:r>
      <w:r w:rsidRPr="00EE41BA">
        <w:rPr>
          <w:rFonts w:ascii="微软雅黑" w:eastAsia="微软雅黑" w:hAnsi="微软雅黑" w:hint="eastAsia"/>
          <w:color w:val="000000"/>
        </w:rPr>
        <w:t>:30</w:t>
      </w:r>
    </w:p>
    <w:p w:rsidR="00EE41BA" w:rsidRPr="00EE41BA" w:rsidRDefault="00EE41BA" w:rsidP="00EE41BA">
      <w:pPr>
        <w:pStyle w:val="a3"/>
        <w:ind w:left="420" w:firstLineChars="0" w:firstLine="0"/>
        <w:rPr>
          <w:rFonts w:ascii="微软雅黑" w:eastAsia="微软雅黑" w:hAnsi="微软雅黑" w:hint="eastAsia"/>
          <w:color w:val="000000"/>
        </w:rPr>
      </w:pPr>
      <w:r w:rsidRPr="00EE41BA">
        <w:rPr>
          <w:rFonts w:ascii="微软雅黑" w:eastAsia="微软雅黑" w:hAnsi="微软雅黑" w:hint="eastAsia"/>
          <w:color w:val="000000"/>
        </w:rPr>
        <w:t>递交</w:t>
      </w:r>
      <w:r w:rsidRPr="00EE41BA">
        <w:rPr>
          <w:rFonts w:ascii="微软雅黑" w:eastAsia="微软雅黑" w:hAnsi="微软雅黑"/>
          <w:color w:val="000000"/>
        </w:rPr>
        <w:t>方式：</w:t>
      </w:r>
      <w:hyperlink r:id="rId5" w:history="1">
        <w:r w:rsidRPr="00EE41BA">
          <w:rPr>
            <w:rFonts w:ascii="微软雅黑" w:eastAsia="微软雅黑" w:hAnsi="微软雅黑"/>
            <w:color w:val="000000"/>
          </w:rPr>
          <w:t>请所有报名的供应商</w:t>
        </w:r>
        <w:r w:rsidRPr="00EE41BA">
          <w:rPr>
            <w:rFonts w:ascii="微软雅黑" w:eastAsia="微软雅黑" w:hAnsi="微软雅黑" w:hint="eastAsia"/>
            <w:color w:val="000000"/>
          </w:rPr>
          <w:t>递交</w:t>
        </w:r>
        <w:r w:rsidRPr="00EE41BA">
          <w:rPr>
            <w:rFonts w:ascii="微软雅黑" w:eastAsia="微软雅黑" w:hAnsi="微软雅黑"/>
            <w:color w:val="000000"/>
          </w:rPr>
          <w:t>如下文件至qixiaoyong@bjev.com.cn</w:t>
        </w:r>
      </w:hyperlink>
      <w:r w:rsidRPr="00EE41BA">
        <w:rPr>
          <w:rFonts w:ascii="微软雅黑" w:eastAsia="微软雅黑" w:hAnsi="微软雅黑"/>
          <w:color w:val="000000"/>
        </w:rPr>
        <w:t>,</w:t>
      </w:r>
      <w:r w:rsidR="008B13C7">
        <w:rPr>
          <w:rFonts w:ascii="微软雅黑" w:eastAsia="微软雅黑" w:hAnsi="微软雅黑"/>
          <w:color w:val="000000"/>
        </w:rPr>
        <w:t xml:space="preserve"> </w:t>
      </w:r>
      <w:bookmarkStart w:id="0" w:name="_GoBack"/>
      <w:bookmarkEnd w:id="0"/>
      <w:r w:rsidR="008B13C7">
        <w:rPr>
          <w:rFonts w:ascii="微软雅黑" w:eastAsia="微软雅黑" w:hAnsi="微软雅黑" w:hint="eastAsia"/>
          <w:color w:val="000000"/>
        </w:rPr>
        <w:t>联系</w:t>
      </w:r>
      <w:r w:rsidR="008B13C7">
        <w:rPr>
          <w:rFonts w:ascii="微软雅黑" w:eastAsia="微软雅黑" w:hAnsi="微软雅黑"/>
          <w:color w:val="000000"/>
        </w:rPr>
        <w:t>方式：</w:t>
      </w:r>
      <w:r w:rsidR="008B13C7">
        <w:rPr>
          <w:rFonts w:ascii="微软雅黑" w:eastAsia="微软雅黑" w:hAnsi="微软雅黑" w:hint="eastAsia"/>
          <w:color w:val="000000"/>
        </w:rPr>
        <w:t>010-53970610</w:t>
      </w:r>
    </w:p>
    <w:p w:rsidR="00EE41BA" w:rsidRDefault="00EE41BA" w:rsidP="00EE41BA">
      <w:pPr>
        <w:rPr>
          <w:rFonts w:ascii="微软雅黑" w:eastAsia="微软雅黑" w:hAnsi="微软雅黑"/>
          <w:color w:val="000000"/>
        </w:rPr>
      </w:pPr>
      <w:r>
        <w:rPr>
          <w:rFonts w:ascii="微软雅黑" w:eastAsia="微软雅黑" w:hAnsi="微软雅黑" w:hint="eastAsia"/>
          <w:color w:val="000000"/>
        </w:rPr>
        <w:lastRenderedPageBreak/>
        <w:t xml:space="preserve">1、供应商信息收集表（含营业执照、组织机构代码、税务登记证（三证合一的企业只需营业执照即可）、开户许可证） </w:t>
      </w:r>
    </w:p>
    <w:p w:rsidR="00EE41BA" w:rsidRDefault="00EE41BA" w:rsidP="00EE41BA">
      <w:pPr>
        <w:rPr>
          <w:rFonts w:ascii="微软雅黑" w:eastAsia="微软雅黑" w:hAnsi="微软雅黑" w:hint="eastAsia"/>
          <w:color w:val="000000"/>
        </w:rPr>
      </w:pPr>
      <w:r>
        <w:rPr>
          <w:rFonts w:ascii="微软雅黑" w:eastAsia="微软雅黑" w:hAnsi="微软雅黑" w:hint="eastAsia"/>
          <w:color w:val="000000"/>
        </w:rPr>
        <w:t>2、商业合作伙伴合</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 xml:space="preserve">报告或国家企业信用信息公示系统公示报告 </w:t>
      </w:r>
    </w:p>
    <w:p w:rsidR="00EE41BA" w:rsidRDefault="00EE41BA" w:rsidP="00EE41BA">
      <w:pPr>
        <w:rPr>
          <w:rFonts w:ascii="微软雅黑" w:eastAsia="微软雅黑" w:hAnsi="微软雅黑" w:hint="eastAsia"/>
          <w:color w:val="000000"/>
        </w:rPr>
      </w:pPr>
      <w:r>
        <w:rPr>
          <w:rFonts w:ascii="微软雅黑" w:eastAsia="微软雅黑" w:hAnsi="微软雅黑" w:hint="eastAsia"/>
          <w:color w:val="000000"/>
        </w:rPr>
        <w:t>3、资质资料：法人授权书、供应商承诺书、法定代表人及授权代表身份证正反面复印件、供应商合</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自查表、设备制造商授权书（适用于代理商投标）、资格和业绩的证明文件（项目合同复印件等）等资料</w:t>
      </w:r>
    </w:p>
    <w:p w:rsidR="00EE41BA" w:rsidRDefault="00EE41BA" w:rsidP="00EE41BA">
      <w:pPr>
        <w:rPr>
          <w:rFonts w:ascii="微软雅黑" w:eastAsia="微软雅黑" w:hAnsi="微软雅黑"/>
          <w:color w:val="000000"/>
        </w:rPr>
      </w:pPr>
      <w:r>
        <w:rPr>
          <w:rFonts w:ascii="微软雅黑" w:eastAsia="微软雅黑" w:hAnsi="微软雅黑" w:hint="eastAsia"/>
          <w:color w:val="000000"/>
        </w:rPr>
        <w:t>4、近3年与北汽新能源或北汽新能源兄弟公司签订类似项目合同</w:t>
      </w:r>
      <w:r>
        <w:rPr>
          <w:rFonts w:ascii="微软雅黑" w:eastAsia="微软雅黑" w:hAnsi="微软雅黑" w:hint="eastAsia"/>
          <w:color w:val="000000"/>
        </w:rPr>
        <w:t>(如</w:t>
      </w:r>
      <w:r>
        <w:rPr>
          <w:rFonts w:ascii="微软雅黑" w:eastAsia="微软雅黑" w:hAnsi="微软雅黑"/>
          <w:color w:val="000000"/>
        </w:rPr>
        <w:t>无</w:t>
      </w:r>
      <w:r>
        <w:rPr>
          <w:rFonts w:ascii="微软雅黑" w:eastAsia="微软雅黑" w:hAnsi="微软雅黑" w:hint="eastAsia"/>
          <w:color w:val="000000"/>
        </w:rPr>
        <w:t>合作</w:t>
      </w:r>
      <w:r>
        <w:rPr>
          <w:rFonts w:ascii="微软雅黑" w:eastAsia="微软雅黑" w:hAnsi="微软雅黑"/>
          <w:color w:val="000000"/>
        </w:rPr>
        <w:t>，可提供</w:t>
      </w:r>
      <w:r>
        <w:rPr>
          <w:rFonts w:ascii="微软雅黑" w:eastAsia="微软雅黑" w:hAnsi="微软雅黑" w:hint="eastAsia"/>
          <w:color w:val="000000"/>
        </w:rPr>
        <w:t>近三年</w:t>
      </w:r>
      <w:r>
        <w:rPr>
          <w:rFonts w:ascii="微软雅黑" w:eastAsia="微软雅黑" w:hAnsi="微软雅黑"/>
          <w:color w:val="000000"/>
        </w:rPr>
        <w:t>其他公司类似项目合同，整车企业合同</w:t>
      </w:r>
      <w:r>
        <w:rPr>
          <w:rFonts w:ascii="微软雅黑" w:eastAsia="微软雅黑" w:hAnsi="微软雅黑" w:hint="eastAsia"/>
          <w:color w:val="000000"/>
        </w:rPr>
        <w:t>优先)</w:t>
      </w:r>
    </w:p>
    <w:p w:rsidR="00EE41BA" w:rsidRDefault="00EE41BA" w:rsidP="00EE41BA">
      <w:pPr>
        <w:rPr>
          <w:rFonts w:ascii="微软雅黑" w:eastAsia="微软雅黑" w:hAnsi="微软雅黑" w:hint="eastAsia"/>
          <w:color w:val="000000"/>
        </w:rPr>
      </w:pPr>
      <w:r>
        <w:rPr>
          <w:rFonts w:ascii="微软雅黑" w:eastAsia="微软雅黑" w:hAnsi="微软雅黑"/>
          <w:color w:val="000000"/>
        </w:rPr>
        <w:t>5</w:t>
      </w:r>
      <w:r>
        <w:rPr>
          <w:rFonts w:ascii="微软雅黑" w:eastAsia="微软雅黑" w:hAnsi="微软雅黑" w:hint="eastAsia"/>
          <w:color w:val="000000"/>
        </w:rPr>
        <w:t>、</w:t>
      </w:r>
      <w:r w:rsidR="008B13C7">
        <w:rPr>
          <w:rFonts w:ascii="微软雅黑" w:eastAsia="微软雅黑" w:hAnsi="微软雅黑" w:hint="eastAsia"/>
          <w:color w:val="000000"/>
        </w:rPr>
        <w:t>供应商</w:t>
      </w:r>
      <w:r w:rsidR="008B13C7">
        <w:rPr>
          <w:rFonts w:ascii="微软雅黑" w:eastAsia="微软雅黑" w:hAnsi="微软雅黑"/>
          <w:color w:val="000000"/>
        </w:rPr>
        <w:t>需提供</w:t>
      </w:r>
      <w:r w:rsidR="008B13C7">
        <w:rPr>
          <w:rFonts w:ascii="微软雅黑" w:eastAsia="微软雅黑" w:hAnsi="微软雅黑" w:hint="eastAsia"/>
          <w:color w:val="000000"/>
        </w:rPr>
        <w:t>2020年</w:t>
      </w:r>
      <w:r w:rsidR="008B13C7">
        <w:rPr>
          <w:rFonts w:ascii="微软雅黑" w:eastAsia="微软雅黑" w:hAnsi="微软雅黑"/>
          <w:color w:val="000000"/>
        </w:rPr>
        <w:t>经审计的完整财务报告复印件（</w:t>
      </w:r>
      <w:r w:rsidR="008B13C7">
        <w:rPr>
          <w:rFonts w:ascii="微软雅黑" w:eastAsia="微软雅黑" w:hAnsi="微软雅黑" w:hint="eastAsia"/>
          <w:color w:val="000000"/>
        </w:rPr>
        <w:t>包括</w:t>
      </w:r>
      <w:r w:rsidR="008B13C7">
        <w:rPr>
          <w:rFonts w:ascii="微软雅黑" w:eastAsia="微软雅黑" w:hAnsi="微软雅黑"/>
          <w:color w:val="000000"/>
        </w:rPr>
        <w:t>报告正文、附表</w:t>
      </w:r>
      <w:r w:rsidR="008B13C7">
        <w:rPr>
          <w:rFonts w:ascii="微软雅黑" w:eastAsia="微软雅黑" w:hAnsi="微软雅黑" w:hint="eastAsia"/>
          <w:color w:val="000000"/>
        </w:rPr>
        <w:t>等</w:t>
      </w:r>
      <w:r w:rsidR="008B13C7">
        <w:rPr>
          <w:rFonts w:ascii="微软雅黑" w:eastAsia="微软雅黑" w:hAnsi="微软雅黑"/>
          <w:color w:val="000000"/>
        </w:rPr>
        <w:t>报告</w:t>
      </w:r>
      <w:r w:rsidR="008B13C7">
        <w:rPr>
          <w:rFonts w:ascii="微软雅黑" w:eastAsia="微软雅黑" w:hAnsi="微软雅黑" w:hint="eastAsia"/>
          <w:color w:val="000000"/>
        </w:rPr>
        <w:t>所有</w:t>
      </w:r>
      <w:r w:rsidR="008B13C7">
        <w:rPr>
          <w:rFonts w:ascii="微软雅黑" w:eastAsia="微软雅黑" w:hAnsi="微软雅黑"/>
          <w:color w:val="000000"/>
        </w:rPr>
        <w:t>内容）</w:t>
      </w:r>
    </w:p>
    <w:p w:rsidR="008B13C7" w:rsidRPr="008B13C7" w:rsidRDefault="008B13C7" w:rsidP="00EE41BA">
      <w:pPr>
        <w:rPr>
          <w:rFonts w:ascii="微软雅黑" w:eastAsia="微软雅黑" w:hAnsi="微软雅黑" w:hint="eastAsia"/>
          <w:color w:val="000000"/>
        </w:rPr>
      </w:pPr>
      <w:r>
        <w:rPr>
          <w:rFonts w:ascii="微软雅黑" w:eastAsia="微软雅黑" w:hAnsi="微软雅黑"/>
          <w:color w:val="000000"/>
        </w:rPr>
        <w:t>6</w:t>
      </w:r>
      <w:r>
        <w:rPr>
          <w:rFonts w:ascii="微软雅黑" w:eastAsia="微软雅黑" w:hAnsi="微软雅黑" w:hint="eastAsia"/>
          <w:color w:val="000000"/>
        </w:rPr>
        <w:t>、</w:t>
      </w:r>
      <w:r>
        <w:rPr>
          <w:rFonts w:ascii="微软雅黑" w:eastAsia="微软雅黑" w:hAnsi="微软雅黑"/>
          <w:color w:val="000000"/>
        </w:rPr>
        <w:t>参与此项目前三年内，在经营活动中</w:t>
      </w:r>
      <w:r>
        <w:rPr>
          <w:rFonts w:ascii="微软雅黑" w:eastAsia="微软雅黑" w:hAnsi="微软雅黑" w:hint="eastAsia"/>
          <w:color w:val="000000"/>
        </w:rPr>
        <w:t>没有</w:t>
      </w:r>
      <w:r>
        <w:rPr>
          <w:rFonts w:ascii="微软雅黑" w:eastAsia="微软雅黑" w:hAnsi="微软雅黑"/>
          <w:color w:val="000000"/>
        </w:rPr>
        <w:t>违法记录或重大事故的没有</w:t>
      </w:r>
      <w:r>
        <w:rPr>
          <w:rFonts w:ascii="微软雅黑" w:eastAsia="微软雅黑" w:hAnsi="微软雅黑" w:hint="eastAsia"/>
          <w:color w:val="000000"/>
        </w:rPr>
        <w:t>处于</w:t>
      </w:r>
      <w:r>
        <w:rPr>
          <w:rFonts w:ascii="微软雅黑" w:eastAsia="微软雅黑" w:hAnsi="微软雅黑"/>
          <w:color w:val="000000"/>
        </w:rPr>
        <w:t>被责令</w:t>
      </w:r>
      <w:r>
        <w:rPr>
          <w:rFonts w:ascii="微软雅黑" w:eastAsia="微软雅黑" w:hAnsi="微软雅黑" w:hint="eastAsia"/>
          <w:color w:val="000000"/>
        </w:rPr>
        <w:t>停业</w:t>
      </w:r>
      <w:r>
        <w:rPr>
          <w:rFonts w:ascii="微软雅黑" w:eastAsia="微软雅黑" w:hAnsi="微软雅黑"/>
          <w:color w:val="000000"/>
        </w:rPr>
        <w:t>，投标资格被取消，财产被接管、冻结，破产状态。</w:t>
      </w:r>
    </w:p>
    <w:p w:rsidR="00EE41BA" w:rsidRPr="00EE41BA" w:rsidRDefault="00EE41BA" w:rsidP="00EE41BA">
      <w:pPr>
        <w:pStyle w:val="a3"/>
        <w:ind w:left="420" w:firstLineChars="0" w:firstLine="0"/>
        <w:rPr>
          <w:rFonts w:hint="eastAsia"/>
        </w:rPr>
      </w:pPr>
    </w:p>
    <w:p w:rsidR="00EE41BA" w:rsidRPr="00EE41BA" w:rsidRDefault="00EE41BA" w:rsidP="00EE41BA">
      <w:pPr>
        <w:pStyle w:val="a3"/>
        <w:ind w:left="420" w:firstLineChars="0" w:firstLine="0"/>
        <w:rPr>
          <w:rFonts w:hint="eastAsia"/>
        </w:rPr>
      </w:pPr>
    </w:p>
    <w:sectPr w:rsidR="00EE41BA" w:rsidRPr="00EE4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w:altName w:val="Helvetica Neue"/>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35A0"/>
    <w:multiLevelType w:val="hybridMultilevel"/>
    <w:tmpl w:val="DB226140"/>
    <w:lvl w:ilvl="0" w:tplc="21E263EC">
      <w:start w:val="1"/>
      <w:numFmt w:val="upperLetter"/>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625F2B"/>
    <w:multiLevelType w:val="hybridMultilevel"/>
    <w:tmpl w:val="20D04F3E"/>
    <w:lvl w:ilvl="0" w:tplc="3D681B48">
      <w:start w:val="5"/>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BD37EE"/>
    <w:multiLevelType w:val="hybridMultilevel"/>
    <w:tmpl w:val="F98C28C8"/>
    <w:lvl w:ilvl="0" w:tplc="3FDC60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2DD876"/>
    <w:multiLevelType w:val="singleLevel"/>
    <w:tmpl w:val="612DD876"/>
    <w:lvl w:ilvl="0">
      <w:start w:val="1"/>
      <w:numFmt w:val="decimal"/>
      <w:suff w:val="nothing"/>
      <w:lvlText w:val="（%1）"/>
      <w:lvlJc w:val="left"/>
    </w:lvl>
  </w:abstractNum>
  <w:abstractNum w:abstractNumId="4" w15:restartNumberingAfterBreak="0">
    <w:nsid w:val="6136FBFC"/>
    <w:multiLevelType w:val="singleLevel"/>
    <w:tmpl w:val="6136FBFC"/>
    <w:lvl w:ilvl="0">
      <w:start w:val="1"/>
      <w:numFmt w:val="decimal"/>
      <w:suff w:val="nothing"/>
      <w:lvlText w:val="%1、"/>
      <w:lvlJc w:val="left"/>
    </w:lvl>
  </w:abstractNum>
  <w:abstractNum w:abstractNumId="5" w15:restartNumberingAfterBreak="0">
    <w:nsid w:val="62231187"/>
    <w:multiLevelType w:val="multilevel"/>
    <w:tmpl w:val="62231187"/>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6" w15:restartNumberingAfterBreak="0">
    <w:nsid w:val="7287063B"/>
    <w:multiLevelType w:val="multilevel"/>
    <w:tmpl w:val="7287063B"/>
    <w:lvl w:ilvl="0">
      <w:start w:val="1"/>
      <w:numFmt w:val="chineseCounting"/>
      <w:suff w:val="nothing"/>
      <w:lvlText w:val="%1、"/>
      <w:lvlJc w:val="left"/>
      <w:pPr>
        <w:ind w:left="0" w:firstLine="0"/>
      </w:pPr>
      <w:rPr>
        <w:rFonts w:ascii="Times New Roman" w:hAnsi="Times New Roman" w:cs="Times New Roman" w:hint="default"/>
        <w:b/>
        <w:i w:val="0"/>
      </w:rPr>
    </w:lvl>
    <w:lvl w:ilvl="1">
      <w:start w:val="1"/>
      <w:numFmt w:val="decimal"/>
      <w:lvlText w:val="3.%2"/>
      <w:lvlJc w:val="left"/>
      <w:pPr>
        <w:tabs>
          <w:tab w:val="left" w:pos="1440"/>
        </w:tabs>
        <w:ind w:left="1440" w:hanging="360"/>
      </w:pPr>
      <w:rPr>
        <w:rFonts w:hint="eastAsia"/>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FE"/>
    <w:rsid w:val="008B13C7"/>
    <w:rsid w:val="009D62EF"/>
    <w:rsid w:val="00EE41BA"/>
    <w:rsid w:val="00EF518C"/>
    <w:rsid w:val="00F2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EF90"/>
  <w15:chartTrackingRefBased/>
  <w15:docId w15:val="{49FED940-CB4A-4B8C-BDEC-ADAA636B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E41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1BA"/>
    <w:pPr>
      <w:ind w:firstLineChars="200" w:firstLine="420"/>
    </w:pPr>
  </w:style>
  <w:style w:type="character" w:styleId="a4">
    <w:name w:val="Hyperlink"/>
    <w:basedOn w:val="a0"/>
    <w:uiPriority w:val="99"/>
    <w:unhideWhenUsed/>
    <w:rsid w:val="00EE41BA"/>
    <w:rPr>
      <w:color w:val="0563C1" w:themeColor="hyperlink"/>
      <w:u w:val="single"/>
    </w:rPr>
  </w:style>
  <w:style w:type="paragraph" w:customStyle="1" w:styleId="11">
    <w:name w:val="列出段落1"/>
    <w:basedOn w:val="a"/>
    <w:uiPriority w:val="99"/>
    <w:qFormat/>
    <w:rsid w:val="00EE41BA"/>
    <w:pPr>
      <w:spacing w:after="160" w:line="259" w:lineRule="auto"/>
      <w:ind w:left="720"/>
      <w:contextualSpacing/>
    </w:pPr>
    <w:rPr>
      <w:rFonts w:ascii="Times New Roman" w:eastAsia="宋体" w:hAnsi="Times New Roman" w:cs="Times New Roman"/>
      <w:szCs w:val="24"/>
    </w:rPr>
  </w:style>
  <w:style w:type="character" w:customStyle="1" w:styleId="10">
    <w:name w:val="标题 1 字符"/>
    <w:basedOn w:val="a0"/>
    <w:link w:val="1"/>
    <w:uiPriority w:val="9"/>
    <w:rsid w:val="00EE41B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5831;&#25152;&#26377;&#25253;&#21517;&#30340;&#20379;&#24212;&#21830;&#36882;&#20132;&#22914;&#19979;&#25991;&#20214;&#33267;qixiaoyong@bjev.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317</Words>
  <Characters>1808</Characters>
  <Application>Microsoft Office Word</Application>
  <DocSecurity>0</DocSecurity>
  <Lines>15</Lines>
  <Paragraphs>4</Paragraphs>
  <ScaleCrop>false</ScaleCrop>
  <Company>ITSK.com</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戚晓永</dc:creator>
  <cp:keywords/>
  <dc:description/>
  <cp:lastModifiedBy>戚晓永</cp:lastModifiedBy>
  <cp:revision>3</cp:revision>
  <dcterms:created xsi:type="dcterms:W3CDTF">2021-09-15T07:36:00Z</dcterms:created>
  <dcterms:modified xsi:type="dcterms:W3CDTF">2021-09-15T08:18:00Z</dcterms:modified>
</cp:coreProperties>
</file>